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6" w:rsidRDefault="00EF30A8" w:rsidP="00FF2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0088AE" wp14:editId="1A8860E4">
            <wp:extent cx="476250" cy="5715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26" w:rsidRDefault="00665D5C" w:rsidP="00F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A8" w:rsidRPr="00EF30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41E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7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1E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0A8" w:rsidRPr="00EF30A8" w:rsidRDefault="00EF30A8" w:rsidP="00FF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EF30A8" w:rsidRPr="00EF30A8" w:rsidRDefault="00EF30A8" w:rsidP="00EF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F30A8" w:rsidRPr="00EF30A8" w:rsidRDefault="00EF30A8" w:rsidP="00EF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B41E33" w:rsidRDefault="00EF30A8" w:rsidP="00B41E33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1E33" w:rsidRPr="00EF30A8" w:rsidRDefault="00B41E33" w:rsidP="00B41E33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B4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36D76">
        <w:rPr>
          <w:rFonts w:ascii="Times New Roman" w:hAnsi="Times New Roman" w:cs="Times New Roman"/>
          <w:sz w:val="28"/>
          <w:szCs w:val="28"/>
        </w:rPr>
        <w:t xml:space="preserve"> </w:t>
      </w:r>
      <w:r w:rsidR="00665D5C">
        <w:rPr>
          <w:rFonts w:ascii="Times New Roman" w:hAnsi="Times New Roman" w:cs="Times New Roman"/>
          <w:sz w:val="28"/>
          <w:szCs w:val="28"/>
        </w:rPr>
        <w:t>24.05.2018 года</w:t>
      </w:r>
      <w:r w:rsidR="00736D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B5">
        <w:rPr>
          <w:rFonts w:ascii="Times New Roman" w:hAnsi="Times New Roman" w:cs="Times New Roman"/>
          <w:sz w:val="28"/>
          <w:szCs w:val="28"/>
        </w:rPr>
        <w:t>№</w:t>
      </w:r>
      <w:r w:rsidR="00665D5C">
        <w:rPr>
          <w:rFonts w:ascii="Times New Roman" w:hAnsi="Times New Roman" w:cs="Times New Roman"/>
          <w:sz w:val="28"/>
          <w:szCs w:val="28"/>
        </w:rPr>
        <w:t xml:space="preserve"> 162-п</w:t>
      </w:r>
      <w:r w:rsidRPr="000A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A8" w:rsidRPr="00B41E33" w:rsidRDefault="00B41E33" w:rsidP="00B41E3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с. Байкалово</w:t>
      </w:r>
    </w:p>
    <w:p w:rsidR="00D60E46" w:rsidRPr="00D60E46" w:rsidRDefault="00EF30A8" w:rsidP="005F7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E3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C179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60E46">
        <w:rPr>
          <w:rFonts w:ascii="Times New Roman" w:hAnsi="Times New Roman" w:cs="Times New Roman"/>
          <w:sz w:val="28"/>
          <w:szCs w:val="28"/>
        </w:rPr>
        <w:t xml:space="preserve">средней рыночной стоимости одного квадратного метра жилого помещения, сложившейся на территории муниципального образования Байкаловского сельского поселения </w:t>
      </w:r>
      <w:r w:rsidR="005F76B9"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признания граждан </w:t>
      </w:r>
      <w:proofErr w:type="gramStart"/>
      <w:r w:rsidR="005F76B9"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="005F76B9"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</w:p>
    <w:p w:rsidR="00EF30A8" w:rsidRDefault="002C179C" w:rsidP="002C17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9C" w:rsidRPr="00770881" w:rsidRDefault="00F951C9" w:rsidP="00F95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770881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10" w:history="1">
        <w:r w:rsidRPr="0077088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Жилищным кодексом Российской Федерации</w:t>
        </w:r>
      </w:hyperlink>
      <w:r w:rsidRPr="00770881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Pr="0077088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Законом Свердловской области от 20.07.2015 № 77-ОЗ «О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использования»</w:t>
        </w:r>
      </w:hyperlink>
      <w:r w:rsidRPr="007708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3E1D01" w:rsidRPr="00770881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 Приказом Министерства строительства и развития инфраструктуры Свердловской области от 27.11.2015 № 470-П «Об утверждении методических рекомендаций для органов местного самоуправления муниципальных образований, расположенных на</w:t>
      </w:r>
      <w:proofErr w:type="gramEnd"/>
      <w:r w:rsidR="003E1D01" w:rsidRPr="007708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граждан», </w:t>
      </w:r>
      <w:r w:rsidRPr="00770881">
        <w:rPr>
          <w:rFonts w:ascii="Times New Roman" w:hAnsi="Times New Roman" w:cs="Times New Roman"/>
          <w:sz w:val="28"/>
          <w:szCs w:val="28"/>
        </w:rPr>
        <w:t>Уставом Байкаловского сельского поселения,</w:t>
      </w:r>
    </w:p>
    <w:p w:rsidR="00EF30A8" w:rsidRPr="00EF30A8" w:rsidRDefault="00EF30A8" w:rsidP="00B41E3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ПОСТАНОВЛЯ</w:t>
      </w:r>
      <w:r w:rsidR="00DE7F22">
        <w:rPr>
          <w:rFonts w:ascii="Times New Roman" w:hAnsi="Times New Roman" w:cs="Times New Roman"/>
          <w:sz w:val="28"/>
          <w:szCs w:val="28"/>
        </w:rPr>
        <w:t>Ю</w:t>
      </w:r>
      <w:r w:rsidRPr="00EF30A8">
        <w:rPr>
          <w:rFonts w:ascii="Times New Roman" w:hAnsi="Times New Roman" w:cs="Times New Roman"/>
          <w:sz w:val="28"/>
          <w:szCs w:val="28"/>
        </w:rPr>
        <w:t>:</w:t>
      </w:r>
    </w:p>
    <w:p w:rsidR="00EF30A8" w:rsidRPr="00EF30A8" w:rsidRDefault="00DE7F22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A8" w:rsidRPr="00EF30A8">
        <w:rPr>
          <w:rFonts w:ascii="Times New Roman" w:hAnsi="Times New Roman" w:cs="Times New Roman"/>
          <w:sz w:val="28"/>
          <w:szCs w:val="28"/>
        </w:rPr>
        <w:t>1.</w:t>
      </w:r>
      <w:r w:rsidR="00EF30A8" w:rsidRPr="00EF30A8">
        <w:rPr>
          <w:rFonts w:ascii="Times New Roman" w:hAnsi="Times New Roman" w:cs="Times New Roman"/>
          <w:sz w:val="28"/>
          <w:szCs w:val="28"/>
        </w:rPr>
        <w:tab/>
      </w:r>
      <w:r w:rsidR="00F951C9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F951C9" w:rsidRPr="00B41E33">
        <w:rPr>
          <w:rFonts w:ascii="Times New Roman" w:hAnsi="Times New Roman" w:cs="Times New Roman"/>
          <w:sz w:val="28"/>
          <w:szCs w:val="28"/>
        </w:rPr>
        <w:t xml:space="preserve"> </w:t>
      </w:r>
      <w:r w:rsidR="005F76B9">
        <w:rPr>
          <w:rFonts w:ascii="Times New Roman" w:hAnsi="Times New Roman" w:cs="Times New Roman"/>
          <w:sz w:val="28"/>
          <w:szCs w:val="28"/>
        </w:rPr>
        <w:t xml:space="preserve">определения средней рыночной стоимости одного квадратного метра жилого помещения, сложившейся на территории муниципального образования Байкаловского сельского поселения </w:t>
      </w:r>
      <w:r w:rsidR="005F76B9"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признания граждан </w:t>
      </w:r>
      <w:proofErr w:type="gramStart"/>
      <w:r w:rsidR="005F76B9"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="005F76B9"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5F76B9">
        <w:rPr>
          <w:rFonts w:ascii="Times New Roman" w:hAnsi="Times New Roman" w:cs="Times New Roman"/>
          <w:sz w:val="28"/>
          <w:szCs w:val="28"/>
        </w:rPr>
        <w:t xml:space="preserve"> </w:t>
      </w:r>
      <w:r w:rsidR="00F951C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F30A8" w:rsidRPr="00EF30A8" w:rsidRDefault="00EF30A8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2.</w:t>
      </w:r>
      <w:r w:rsidRPr="00EF30A8">
        <w:rPr>
          <w:rFonts w:ascii="Times New Roman" w:hAnsi="Times New Roman" w:cs="Times New Roman"/>
          <w:sz w:val="28"/>
          <w:szCs w:val="28"/>
        </w:rPr>
        <w:tab/>
      </w:r>
      <w:r w:rsidR="00780EA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7F2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0EA5">
        <w:rPr>
          <w:rFonts w:ascii="Times New Roman" w:hAnsi="Times New Roman" w:cs="Times New Roman"/>
          <w:sz w:val="28"/>
          <w:szCs w:val="28"/>
        </w:rPr>
        <w:t xml:space="preserve">в Информационном вестнике </w:t>
      </w:r>
      <w:r w:rsidR="00DE7F2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41E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7F22">
        <w:rPr>
          <w:rFonts w:ascii="Times New Roman" w:hAnsi="Times New Roman" w:cs="Times New Roman"/>
          <w:sz w:val="28"/>
          <w:szCs w:val="28"/>
        </w:rPr>
        <w:t>Байкаловского сельского поселения.</w:t>
      </w:r>
    </w:p>
    <w:p w:rsidR="00EF30A8" w:rsidRPr="00EF30A8" w:rsidRDefault="00F951C9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30A8" w:rsidRPr="00EF30A8">
        <w:rPr>
          <w:rFonts w:ascii="Times New Roman" w:hAnsi="Times New Roman" w:cs="Times New Roman"/>
          <w:sz w:val="28"/>
          <w:szCs w:val="28"/>
        </w:rPr>
        <w:t>.</w:t>
      </w:r>
      <w:r w:rsidR="00EF30A8" w:rsidRPr="00EF30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0A8" w:rsidRPr="00EF3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0A8" w:rsidRPr="00EF3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="00780EA5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муниципального образования Байкаловского сельского поселения </w:t>
      </w:r>
      <w:proofErr w:type="spellStart"/>
      <w:r w:rsidR="00780EA5">
        <w:rPr>
          <w:rFonts w:ascii="Times New Roman" w:hAnsi="Times New Roman" w:cs="Times New Roman"/>
          <w:sz w:val="28"/>
          <w:szCs w:val="28"/>
        </w:rPr>
        <w:t>Кокшарову</w:t>
      </w:r>
      <w:proofErr w:type="spellEnd"/>
      <w:r w:rsidR="00780EA5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A8" w:rsidRPr="00EF30A8" w:rsidRDefault="00EF30A8" w:rsidP="000A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0A8" w:rsidRPr="00EF30A8" w:rsidRDefault="00EF30A8" w:rsidP="00CA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285F" w:rsidRPr="000A67B5" w:rsidRDefault="00EF30A8" w:rsidP="00CA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Байк</w:t>
      </w:r>
      <w:r w:rsidR="000A67B5">
        <w:rPr>
          <w:rFonts w:ascii="Times New Roman" w:hAnsi="Times New Roman" w:cs="Times New Roman"/>
          <w:sz w:val="28"/>
          <w:szCs w:val="28"/>
        </w:rPr>
        <w:t>аловского сельского поселения</w:t>
      </w:r>
      <w:r w:rsidR="000A67B5">
        <w:rPr>
          <w:rFonts w:ascii="Times New Roman" w:hAnsi="Times New Roman" w:cs="Times New Roman"/>
          <w:sz w:val="28"/>
          <w:szCs w:val="28"/>
        </w:rPr>
        <w:tab/>
      </w:r>
      <w:r w:rsidR="00B41E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11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1E33">
        <w:rPr>
          <w:rFonts w:ascii="Times New Roman" w:hAnsi="Times New Roman" w:cs="Times New Roman"/>
          <w:sz w:val="28"/>
          <w:szCs w:val="28"/>
        </w:rPr>
        <w:t xml:space="preserve">     </w:t>
      </w:r>
      <w:r w:rsidR="000A67B5">
        <w:rPr>
          <w:rFonts w:ascii="Times New Roman" w:hAnsi="Times New Roman" w:cs="Times New Roman"/>
          <w:sz w:val="28"/>
          <w:szCs w:val="28"/>
        </w:rPr>
        <w:t>Д.В.</w:t>
      </w:r>
      <w:r w:rsidR="00750FBE">
        <w:rPr>
          <w:rFonts w:ascii="Times New Roman" w:hAnsi="Times New Roman" w:cs="Times New Roman"/>
          <w:sz w:val="28"/>
          <w:szCs w:val="28"/>
        </w:rPr>
        <w:t xml:space="preserve"> </w:t>
      </w:r>
      <w:r w:rsidR="000A67B5">
        <w:rPr>
          <w:rFonts w:ascii="Times New Roman" w:hAnsi="Times New Roman" w:cs="Times New Roman"/>
          <w:sz w:val="28"/>
          <w:szCs w:val="28"/>
        </w:rPr>
        <w:t>Лыжин</w:t>
      </w:r>
    </w:p>
    <w:p w:rsidR="00750FBE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</w:t>
      </w:r>
    </w:p>
    <w:p w:rsidR="00770881" w:rsidRDefault="00750FBE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0881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41E33" w:rsidRDefault="00770881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 </w:t>
      </w:r>
      <w:r w:rsidR="00750F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41E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41E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Постановлению</w:t>
      </w:r>
      <w:r w:rsidR="00B41E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главы</w:t>
      </w:r>
    </w:p>
    <w:p w:rsidR="00B41E33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</w:t>
      </w:r>
      <w:r w:rsidR="007708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</w:t>
      </w:r>
    </w:p>
    <w:p w:rsidR="00B41E33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  <w:r w:rsidR="007708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Байкаловского сельского                             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</w:t>
      </w:r>
      <w:r w:rsidR="00780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поселения</w:t>
      </w:r>
    </w:p>
    <w:p w:rsidR="000C1EE4" w:rsidRDefault="00B41E33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  <w:r w:rsidR="00780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708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665D5C">
        <w:rPr>
          <w:rFonts w:ascii="Times New Roman" w:eastAsia="Times New Roman" w:hAnsi="Times New Roman" w:cs="Times New Roman"/>
          <w:spacing w:val="2"/>
          <w:sz w:val="24"/>
          <w:szCs w:val="24"/>
        </w:rPr>
        <w:t>24.05.2018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</w:t>
      </w:r>
      <w:r w:rsidR="00780E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="004F76FA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0C1EE4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65D5C">
        <w:rPr>
          <w:rFonts w:ascii="Times New Roman" w:eastAsia="Times New Roman" w:hAnsi="Times New Roman" w:cs="Times New Roman"/>
          <w:spacing w:val="2"/>
          <w:sz w:val="24"/>
          <w:szCs w:val="24"/>
        </w:rPr>
        <w:t>162-п</w:t>
      </w:r>
    </w:p>
    <w:p w:rsidR="00736D76" w:rsidRPr="00CC5A5A" w:rsidRDefault="00736D76" w:rsidP="00B41E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1320E" w:rsidRDefault="00A1320E" w:rsidP="00A1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1320E" w:rsidRDefault="00106BE9" w:rsidP="00A1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средней рыночной стоимости одного квадратного метра жилого помещения, сложившейся на территории муниципального образования Байкаловского сельского поселения </w:t>
      </w:r>
      <w:r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признания граждан </w:t>
      </w:r>
      <w:proofErr w:type="gramStart"/>
      <w:r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D6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A1320E" w:rsidRPr="00B4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E9" w:rsidRPr="00736D76" w:rsidRDefault="00106BE9" w:rsidP="00A1320E">
      <w:pPr>
        <w:widowControl w:val="0"/>
        <w:shd w:val="clear" w:color="auto" w:fill="FFFFFF"/>
        <w:suppressAutoHyphens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70881" w:rsidRPr="00770881" w:rsidRDefault="00770881" w:rsidP="00770881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Порядок  предназначен для определения средней рыночной стоимости одного квадратного метра общей площади жилого помещения, сложившейся в границах муниципального образования Байкаловского сельского поселения в целях признания граждан </w:t>
      </w:r>
      <w:proofErr w:type="gram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средней рыночной стоимости одного квадратного метра жилого помещения, сложившейся в границах муниципального образования Байкаловского сельского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осуществляет Комиссия по жилищным вопросам Администрации муниципального образования Байкаловского сельского поселения (далее - комиссия)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ежеквартально в срок до 25 числа последнего месяца</w:t>
      </w:r>
      <w:proofErr w:type="gram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квартала.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Персональный состав комиссии утверждается постановлением главы муниципального образования Байкаловского сельского поселения.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Сбор исходных данных для определения средней рыночной стоимости одного квадратного метра общей площади жилья 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В целях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средней рыночной стоимости одного квадратного метра общей площади жилья</w:t>
      </w:r>
      <w:proofErr w:type="gramEnd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 муниципального образования Байкаловского сельского поселения используются следующие исходные данные (показатели):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среднерыночная цена одного квадратного метра общей площади жилого помещения на первичном рынке жилья на территории муниципального образования Байкаловского сельского поселения.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первичным рынком жилья понимается рынок жилых помещений, на котором осуществляется передача в собственность нового (вновь построенного </w:t>
      </w: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или реконструированного) жилья на возмездной основе,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правами</w:t>
      </w:r>
      <w:proofErr w:type="gramEnd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которого обладают: государство в лице федеральных, территориальных и местных органов исполнительной власти; фирмы-застройщики, осуществляющие строительство (реконструкцию) объектов недвижимости; юридические и физические лица, официально уполномоченные осуществлять реализацию жилья;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среднерыночная цена одного квадратного метра общей площади жилого помещения на вторичном рынке жилья на территории муниципального образования Байкаловского сельского поселения.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Объектом наблюдения на вторичном рынке жилья являются жилые помещения, находящиеся в частной или в государственной собственности и обладающие определенной степенью износа в результате эксплуатации.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на вторичном рынке жилья регистрируются цены на вновь построенные (т.е. не бывшие в эксплуатации) или реконструированные жилые помещения, являющиеся объектом перепродажи как физическими, так и юридическими лицами; на вторичном рынке жилья собственниками квартир могут выступать как физические, так и юридические лица;</w:t>
      </w:r>
      <w:proofErr w:type="gramEnd"/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средняя фактическая стоимость строительства одного квадратного метра общей площади жилья на территории муниципального образования Байкаловского сельского поселения.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Средней фактической стоимостью строительства является сумма фактически произведенных застройщиками капитальных затрат, приходящихся на один квадратный метр общей площади законченных строительством за отчетный период жилых домов (без пристроек, надстроек и встроенных помещений и без жилых домов, построенных индивидуальными застройщиками), независимо от даты начала строительства, включая дома, строительство которых осуществлялось с нарушением нормативных сроков.</w:t>
      </w:r>
      <w:proofErr w:type="gramEnd"/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Сбор данных для определения средней рыночной стоимости одного квадратного метра общей площади жилья на территории муниципального  образования Байкаловского сельского поселения на расчетный квартал осуществляется в текущем квартале.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Основными источниками информации, используемыми при осуществлении сбора данных, являются: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Территориального органа Федеральной службы государственной статистики по Свердловской области (далее - </w:t>
      </w:r>
      <w:proofErr w:type="spell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Свердловскстат</w:t>
      </w:r>
      <w:proofErr w:type="spellEnd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) о средней стоимости строительства одного квадратного метра общей площади жилых домов квартирного типа без пристроек, надстроек и встроенных помещений (</w:t>
      </w:r>
      <w:hyperlink r:id="rId12" w:history="1">
        <w:r w:rsidRPr="00665D5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форма N С-1</w:t>
        </w:r>
      </w:hyperlink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"Сведения о вводе в эксплуатацию зданий, сооружений и реализации инвестиционных проектов")  в </w:t>
      </w:r>
      <w:r w:rsidRPr="0077088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образовании Байкаловского сельского поселения.</w:t>
      </w:r>
      <w:proofErr w:type="gramEnd"/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2.3.2. Сведения о средней рыночной стоимости одного квадратного метра общей площади жилья на соответствующий период на территории Свердловской области, утвержденные Министерством строительства и жилищно-коммунального хозяйства Российской Федерации.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2.3.3.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фактических произведенных застройщиками капитальных затрат законченных объектов жилищного строительства, ввод которых был осуществлен в текущем году (без пристроек, надстроек и встроенных помещений и без жилых домов, построенных индивидуальными застройщиками).</w:t>
      </w:r>
      <w:proofErr w:type="gramEnd"/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881" w:rsidRPr="00770881" w:rsidRDefault="00770881" w:rsidP="00770881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Расчет средней рыночной стоимости одного квадратного метра общей площади жилых помещений 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3.1. 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x 1,06, где: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средняя цена одного квадратного метра общей площади жилья на первичном рынке жилья;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средняя стоимость строительства жилья в муниципальном образовании Байкаловского сельского поселения (в текущем квартале);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1,06 - коэффициент, учитывающий долю прибыли от фактических затрат застройщика.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 Расчет средней цены одного квадратного метра общей площади жилого помещения на вторичном рынке жилья осуществляется по следующей формуле: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Минстрой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x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пл</w:t>
      </w:r>
      <w:proofErr w:type="gram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.н</w:t>
      </w:r>
      <w:proofErr w:type="gram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ас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x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обесп.жильем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средняя цена одного квадратного метра общей площади жилья на вторичном рынке жилья;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Минстрой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жилищно-коммунального хозяйства Российской Федерации;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пл</w:t>
      </w:r>
      <w:proofErr w:type="gram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.н</w:t>
      </w:r>
      <w:proofErr w:type="gram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ас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коэффициент, учитывающий отношение численности жителей на один квадратный километр (плотность населения) в муниципальном образовании Байкаловского сельского поселения к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среднеобластному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значению, который принимает значение от 0,7 </w:t>
      </w:r>
      <w:r w:rsidRPr="00770881">
        <w:rPr>
          <w:rFonts w:ascii="Times New Roman" w:eastAsia="Times New Roman" w:hAnsi="Times New Roman" w:cs="Times New Roman"/>
          <w:sz w:val="28"/>
          <w:szCs w:val="28"/>
        </w:rPr>
        <w:t xml:space="preserve">до 0,8 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определяется по следующей формуле: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пл</w:t>
      </w:r>
      <w:proofErr w:type="gram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.н</w:t>
      </w:r>
      <w:proofErr w:type="gram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ас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ЧПН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ЧПН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ЧПН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число жителей на один квадратный километр (плотность населения) в муниципальном образовании Байкаловского сельского поселения (на конец года);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ЧПН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число жителей на один квадратный километр (плотность населения) в Свердловской области (на конец года);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обесп</w:t>
      </w:r>
      <w:proofErr w:type="gram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.ж</w:t>
      </w:r>
      <w:proofErr w:type="gram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ильем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коэффициент, учитывающий отношение обеспеченности одного жителя общей площадью жилых помещений в муниципальном образовании к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среднеобластному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значению, который принимает значение от </w:t>
      </w:r>
      <w:r w:rsidRPr="00770881">
        <w:rPr>
          <w:rFonts w:ascii="Times New Roman" w:eastAsia="Times New Roman" w:hAnsi="Times New Roman" w:cs="Times New Roman"/>
          <w:sz w:val="28"/>
          <w:szCs w:val="28"/>
        </w:rPr>
        <w:t xml:space="preserve">0,7 до 0,9 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определяется по следующей формуле: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обесп</w:t>
      </w:r>
      <w:proofErr w:type="gram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.ж</w:t>
      </w:r>
      <w:proofErr w:type="gram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ильем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общая площадь жилых помещений, приходящаяся в среднем на одного жителя в муниципальном образовании Байкаловского сельского поселения (на конец года);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общая площадь жилых помещений, приходящаяся в среднем на одного жителя в Свердловской области (на конец года).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Calibri" w:eastAsiaTheme="minorHAnsi" w:hAnsi="Calibri" w:cs="Calibri"/>
          <w:lang w:eastAsia="en-US"/>
        </w:rPr>
        <w:tab/>
      </w: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В случае отсутствия сведений по средней стоимости строительства жилья в  муниципальном образовании Байкаловский муниципальный район в текущем периоде, указанных в </w:t>
      </w:r>
      <w:hyperlink r:id="rId13" w:history="1">
        <w:r w:rsidRPr="007708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2.3.</w:t>
        </w:r>
      </w:hyperlink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и </w:t>
      </w:r>
      <w:hyperlink r:id="rId14" w:history="1">
        <w:r w:rsidRPr="007708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2.3.3</w:t>
        </w:r>
      </w:hyperlink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настоящего Порядка,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</w:t>
      </w:r>
      <w:proofErr w:type="gramEnd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 следующие данные: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3.3.1.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Имеющиеся данные </w:t>
      </w:r>
      <w:proofErr w:type="spell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Свердловскстата</w:t>
      </w:r>
      <w:proofErr w:type="spellEnd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средней стоимости строительства либо сведения о фактических произведенных застройщиками капитальных затрат законченных объектов жилищного строительства за период, предшествующий текущему периоду, но не ранее 2012 года, с учетом использования индексов-дефляторов по отрасли "Строительство" на период времени до текущего периода, доведенные Министерством экономического развития Российской Федерации.</w:t>
      </w:r>
      <w:proofErr w:type="gramEnd"/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3.3.2.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Статистические данные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 Свердловской области, размещенные на официальном сайте Росстата в сети Интернет по адресу: http://www.gks.ru/ (Раздел:</w:t>
      </w:r>
      <w:proofErr w:type="gramEnd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Официальная статистика -&gt; Предпринимательство -&gt; Строительство -&gt; Оперативная информация); с учетом использования коэффициента, определенного согласно ниже представленной таблице:</w:t>
      </w:r>
      <w:proofErr w:type="gramEnd"/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572"/>
      </w:tblGrid>
      <w:tr w:rsidR="00770881" w:rsidRPr="00770881" w:rsidTr="005E5026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1" w:rsidRPr="00770881" w:rsidRDefault="00770881" w:rsidP="0077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08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Отдаленность административного центра муниципаль</w:t>
            </w:r>
            <w:bookmarkStart w:id="0" w:name="_GoBack"/>
            <w:bookmarkEnd w:id="0"/>
            <w:r w:rsidRPr="007708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ного образования от ближайшего наиболее крупного города Свердловской области </w:t>
            </w:r>
            <w:hyperlink w:anchor="Par12" w:history="1">
              <w:r w:rsidRPr="00665D5C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1" w:rsidRPr="00770881" w:rsidRDefault="00770881" w:rsidP="0077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08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Коэффициент для использования в расчете</w:t>
            </w:r>
          </w:p>
        </w:tc>
      </w:tr>
      <w:tr w:rsidR="00770881" w:rsidRPr="00770881" w:rsidTr="005E5026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1" w:rsidRPr="00770881" w:rsidRDefault="00770881" w:rsidP="0077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08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100 км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1" w:rsidRPr="00770881" w:rsidRDefault="00770881" w:rsidP="00770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08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0,85</w:t>
            </w:r>
          </w:p>
        </w:tc>
      </w:tr>
      <w:tr w:rsidR="00770881" w:rsidRPr="00770881" w:rsidTr="005E5026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1" w:rsidRPr="00770881" w:rsidRDefault="00770881" w:rsidP="0077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08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100 км и более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1" w:rsidRPr="00770881" w:rsidRDefault="00770881" w:rsidP="00770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08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0,95</w:t>
            </w:r>
          </w:p>
        </w:tc>
      </w:tr>
    </w:tbl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--------------------------------</w:t>
      </w: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2"/>
      <w:bookmarkEnd w:id="1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- наиболее крупные города: Екатеринбург, Нижний Тагил, Каменск-Уральский, Первоуральск, Серов, Новоуральск и Асбест.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3.4. 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Расчетный показатель средней рыночной стоимости жилья на планируемый квартал по муниципальному образованию Байкаловского сельского поселения определяется по формуле:</w:t>
      </w:r>
    </w:p>
    <w:p w:rsidR="00770881" w:rsidRPr="00770881" w:rsidRDefault="00770881" w:rsidP="00770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881">
        <w:rPr>
          <w:rFonts w:ascii="Arial" w:eastAsiaTheme="minorHAnsi" w:hAnsi="Arial" w:cs="Arial"/>
          <w:noProof/>
          <w:position w:val="-20"/>
          <w:sz w:val="28"/>
          <w:szCs w:val="28"/>
        </w:rPr>
        <w:drawing>
          <wp:inline distT="0" distB="0" distL="0" distR="0" wp14:anchorId="3F87DA63" wp14:editId="59D1D284">
            <wp:extent cx="23241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РПС - расчетный показатель средней рыночной стоимости жилья на планируемый квартал по муниципальному образованию Байкаловского сельского поселения;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средняя цена одного квадратного метра общей площади жилья на первичном рынке жилья, определенная согласно  пункту </w:t>
      </w:r>
      <w:r w:rsidRPr="0077088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средняя цена одного квадратного метра общей площади жилья на вторичном рынке жилья, определенная согласно пункту 3.2 настоящего Порядка;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стр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средняя стоимость строительства жилья в муниципальном образовании Байкаловского сельского поселения, определенная согласно </w:t>
      </w:r>
      <w:r w:rsidRPr="00770881">
        <w:rPr>
          <w:rFonts w:ascii="Times New Roman" w:eastAsia="Times New Roman" w:hAnsi="Times New Roman" w:cs="Times New Roman"/>
          <w:sz w:val="28"/>
          <w:szCs w:val="28"/>
        </w:rPr>
        <w:t xml:space="preserve">пункту 3.3. настоящего Порядка; </w:t>
      </w:r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дефл</w:t>
      </w:r>
      <w:proofErr w:type="spellEnd"/>
      <w:r w:rsidRPr="00770881">
        <w:rPr>
          <w:rFonts w:ascii="Times New Roman" w:eastAsia="Times New Roman" w:hAnsi="Times New Roman" w:cs="Times New Roman"/>
          <w:color w:val="000000"/>
          <w:sz w:val="28"/>
          <w:szCs w:val="28"/>
        </w:rPr>
        <w:t> 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"Строительство".</w:t>
      </w:r>
      <w:proofErr w:type="gramEnd"/>
    </w:p>
    <w:p w:rsidR="00770881" w:rsidRPr="00770881" w:rsidRDefault="00770881" w:rsidP="0077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0881" w:rsidRPr="00770881" w:rsidRDefault="00770881" w:rsidP="00770881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</w:t>
      </w:r>
      <w:proofErr w:type="gramStart"/>
      <w:r w:rsidRPr="0077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утверждения средней рыночной стоимости одного квадратного метра общей площади жилого помещения</w:t>
      </w:r>
      <w:proofErr w:type="gramEnd"/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881" w:rsidRPr="00770881" w:rsidRDefault="00770881" w:rsidP="0077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77088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Рассчитанные средние значения рыночной цены одного квадратного метра общей площади жилья на первичном и вторичном рынках жилья и среднее значение рыночной стоимости одного квадратного метра общей площади жилья по муниципальному образованию на планируемый квартал рассматриваются на заседании комиссии и утверждаются постановлением главы муниципального образования Байкаловского сельского поселения на планируемый квартал.</w:t>
      </w:r>
      <w:proofErr w:type="gramEnd"/>
    </w:p>
    <w:p w:rsidR="00770881" w:rsidRPr="00770881" w:rsidRDefault="00770881" w:rsidP="00770881">
      <w:pPr>
        <w:rPr>
          <w:rFonts w:eastAsiaTheme="minorHAnsi"/>
          <w:lang w:eastAsia="en-US"/>
        </w:rPr>
      </w:pPr>
    </w:p>
    <w:p w:rsidR="00FD3DE0" w:rsidRPr="00CC5A5A" w:rsidRDefault="00FD3DE0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sectPr w:rsidR="00FD3DE0" w:rsidRPr="00CC5A5A" w:rsidSect="00736D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7D" w:rsidRDefault="0004767D" w:rsidP="00C752D1">
      <w:pPr>
        <w:spacing w:after="0" w:line="240" w:lineRule="auto"/>
      </w:pPr>
      <w:r>
        <w:separator/>
      </w:r>
    </w:p>
  </w:endnote>
  <w:endnote w:type="continuationSeparator" w:id="0">
    <w:p w:rsidR="0004767D" w:rsidRDefault="0004767D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7D" w:rsidRDefault="0004767D" w:rsidP="00C752D1">
      <w:pPr>
        <w:spacing w:after="0" w:line="240" w:lineRule="auto"/>
      </w:pPr>
      <w:r>
        <w:separator/>
      </w:r>
    </w:p>
  </w:footnote>
  <w:footnote w:type="continuationSeparator" w:id="0">
    <w:p w:rsidR="0004767D" w:rsidRDefault="0004767D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E1"/>
    <w:multiLevelType w:val="hybridMultilevel"/>
    <w:tmpl w:val="6C043CE8"/>
    <w:lvl w:ilvl="0" w:tplc="66DC93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D5"/>
    <w:multiLevelType w:val="hybridMultilevel"/>
    <w:tmpl w:val="F6FCA49E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DE367A"/>
    <w:multiLevelType w:val="hybridMultilevel"/>
    <w:tmpl w:val="554E2BD8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4"/>
    <w:rsid w:val="0000575D"/>
    <w:rsid w:val="00006BDA"/>
    <w:rsid w:val="0002724C"/>
    <w:rsid w:val="00032983"/>
    <w:rsid w:val="00035C45"/>
    <w:rsid w:val="0004767D"/>
    <w:rsid w:val="00071966"/>
    <w:rsid w:val="00084770"/>
    <w:rsid w:val="00094CB4"/>
    <w:rsid w:val="000A2D63"/>
    <w:rsid w:val="000A3ECD"/>
    <w:rsid w:val="000A67B5"/>
    <w:rsid w:val="000C1EE4"/>
    <w:rsid w:val="000C360F"/>
    <w:rsid w:val="000C52EF"/>
    <w:rsid w:val="000D07B5"/>
    <w:rsid w:val="000D75FA"/>
    <w:rsid w:val="000F39A8"/>
    <w:rsid w:val="00102349"/>
    <w:rsid w:val="00106BE9"/>
    <w:rsid w:val="00110EEA"/>
    <w:rsid w:val="00110F29"/>
    <w:rsid w:val="00117284"/>
    <w:rsid w:val="001214EC"/>
    <w:rsid w:val="00150FD1"/>
    <w:rsid w:val="00152154"/>
    <w:rsid w:val="0019760C"/>
    <w:rsid w:val="001F302C"/>
    <w:rsid w:val="00216341"/>
    <w:rsid w:val="00233191"/>
    <w:rsid w:val="00235EFE"/>
    <w:rsid w:val="002661C8"/>
    <w:rsid w:val="002A1851"/>
    <w:rsid w:val="002C179C"/>
    <w:rsid w:val="002D1753"/>
    <w:rsid w:val="002F2422"/>
    <w:rsid w:val="003051D7"/>
    <w:rsid w:val="003075E2"/>
    <w:rsid w:val="0031069A"/>
    <w:rsid w:val="00323302"/>
    <w:rsid w:val="00341E6F"/>
    <w:rsid w:val="00341F56"/>
    <w:rsid w:val="003565C6"/>
    <w:rsid w:val="00361FA0"/>
    <w:rsid w:val="003636D8"/>
    <w:rsid w:val="0036567C"/>
    <w:rsid w:val="00380BD4"/>
    <w:rsid w:val="003B7365"/>
    <w:rsid w:val="003C78E1"/>
    <w:rsid w:val="003D1175"/>
    <w:rsid w:val="003E1D01"/>
    <w:rsid w:val="003E6B97"/>
    <w:rsid w:val="00406299"/>
    <w:rsid w:val="00410454"/>
    <w:rsid w:val="00424383"/>
    <w:rsid w:val="004268EF"/>
    <w:rsid w:val="00432D4E"/>
    <w:rsid w:val="00447A77"/>
    <w:rsid w:val="00451D70"/>
    <w:rsid w:val="00470B1B"/>
    <w:rsid w:val="004B20ED"/>
    <w:rsid w:val="004C3D64"/>
    <w:rsid w:val="004D429A"/>
    <w:rsid w:val="004D58FE"/>
    <w:rsid w:val="004E538D"/>
    <w:rsid w:val="004F1919"/>
    <w:rsid w:val="004F23E3"/>
    <w:rsid w:val="004F76FA"/>
    <w:rsid w:val="00500DCB"/>
    <w:rsid w:val="00507B99"/>
    <w:rsid w:val="00511CBC"/>
    <w:rsid w:val="00514B9A"/>
    <w:rsid w:val="00524ABF"/>
    <w:rsid w:val="00535D29"/>
    <w:rsid w:val="0055198D"/>
    <w:rsid w:val="00565223"/>
    <w:rsid w:val="005732E8"/>
    <w:rsid w:val="00576E1F"/>
    <w:rsid w:val="00586804"/>
    <w:rsid w:val="00590C37"/>
    <w:rsid w:val="00591538"/>
    <w:rsid w:val="005929D5"/>
    <w:rsid w:val="005B50B2"/>
    <w:rsid w:val="005C2539"/>
    <w:rsid w:val="005C4EEB"/>
    <w:rsid w:val="005E2F3B"/>
    <w:rsid w:val="005F7116"/>
    <w:rsid w:val="005F76B9"/>
    <w:rsid w:val="006004FF"/>
    <w:rsid w:val="00600E6A"/>
    <w:rsid w:val="006076E0"/>
    <w:rsid w:val="006251B4"/>
    <w:rsid w:val="006267D8"/>
    <w:rsid w:val="00662A28"/>
    <w:rsid w:val="00665D5C"/>
    <w:rsid w:val="00680C0B"/>
    <w:rsid w:val="00690980"/>
    <w:rsid w:val="0069674B"/>
    <w:rsid w:val="006B4EE3"/>
    <w:rsid w:val="006B57A5"/>
    <w:rsid w:val="006C14B7"/>
    <w:rsid w:val="006C58A4"/>
    <w:rsid w:val="006E0389"/>
    <w:rsid w:val="00705B2C"/>
    <w:rsid w:val="00716F4C"/>
    <w:rsid w:val="00724DBF"/>
    <w:rsid w:val="00736D76"/>
    <w:rsid w:val="00750FBE"/>
    <w:rsid w:val="007612C0"/>
    <w:rsid w:val="007614A6"/>
    <w:rsid w:val="00763145"/>
    <w:rsid w:val="007639B2"/>
    <w:rsid w:val="00770881"/>
    <w:rsid w:val="00776896"/>
    <w:rsid w:val="00780EA5"/>
    <w:rsid w:val="00790777"/>
    <w:rsid w:val="0079321E"/>
    <w:rsid w:val="007A43C8"/>
    <w:rsid w:val="007A7755"/>
    <w:rsid w:val="007A7ACC"/>
    <w:rsid w:val="007B4951"/>
    <w:rsid w:val="007B7970"/>
    <w:rsid w:val="007D0067"/>
    <w:rsid w:val="007D361E"/>
    <w:rsid w:val="007F78D4"/>
    <w:rsid w:val="00805915"/>
    <w:rsid w:val="00840AC9"/>
    <w:rsid w:val="00850B91"/>
    <w:rsid w:val="0089313D"/>
    <w:rsid w:val="0089639F"/>
    <w:rsid w:val="008D64DB"/>
    <w:rsid w:val="00903553"/>
    <w:rsid w:val="009345D2"/>
    <w:rsid w:val="00954B40"/>
    <w:rsid w:val="0095608A"/>
    <w:rsid w:val="009772D2"/>
    <w:rsid w:val="0099591E"/>
    <w:rsid w:val="00995CA5"/>
    <w:rsid w:val="009A593E"/>
    <w:rsid w:val="009B5DB5"/>
    <w:rsid w:val="009C546E"/>
    <w:rsid w:val="009D2DBD"/>
    <w:rsid w:val="009F624B"/>
    <w:rsid w:val="00A037E3"/>
    <w:rsid w:val="00A06819"/>
    <w:rsid w:val="00A1320E"/>
    <w:rsid w:val="00A13939"/>
    <w:rsid w:val="00A22404"/>
    <w:rsid w:val="00A24EDA"/>
    <w:rsid w:val="00A331E1"/>
    <w:rsid w:val="00A412CC"/>
    <w:rsid w:val="00A42EB6"/>
    <w:rsid w:val="00A60741"/>
    <w:rsid w:val="00A60D1B"/>
    <w:rsid w:val="00A65D46"/>
    <w:rsid w:val="00A67033"/>
    <w:rsid w:val="00A80EB4"/>
    <w:rsid w:val="00A90F1B"/>
    <w:rsid w:val="00A92192"/>
    <w:rsid w:val="00AA57D6"/>
    <w:rsid w:val="00AC42CA"/>
    <w:rsid w:val="00AD014B"/>
    <w:rsid w:val="00AD2BD5"/>
    <w:rsid w:val="00AD62D8"/>
    <w:rsid w:val="00AE334F"/>
    <w:rsid w:val="00AF5B67"/>
    <w:rsid w:val="00B14C62"/>
    <w:rsid w:val="00B22C2D"/>
    <w:rsid w:val="00B41E33"/>
    <w:rsid w:val="00B9029E"/>
    <w:rsid w:val="00B95D4E"/>
    <w:rsid w:val="00BC279A"/>
    <w:rsid w:val="00BC7B1F"/>
    <w:rsid w:val="00BE06C6"/>
    <w:rsid w:val="00BE3AE1"/>
    <w:rsid w:val="00C06652"/>
    <w:rsid w:val="00C438BD"/>
    <w:rsid w:val="00C477FE"/>
    <w:rsid w:val="00C47A20"/>
    <w:rsid w:val="00C752D1"/>
    <w:rsid w:val="00C8095F"/>
    <w:rsid w:val="00C93C79"/>
    <w:rsid w:val="00CA11BC"/>
    <w:rsid w:val="00CA2612"/>
    <w:rsid w:val="00CB6090"/>
    <w:rsid w:val="00CB740D"/>
    <w:rsid w:val="00CC1CEF"/>
    <w:rsid w:val="00CC5A5A"/>
    <w:rsid w:val="00CD0781"/>
    <w:rsid w:val="00CD3956"/>
    <w:rsid w:val="00CD526A"/>
    <w:rsid w:val="00CE6737"/>
    <w:rsid w:val="00CF3B0C"/>
    <w:rsid w:val="00CF794F"/>
    <w:rsid w:val="00D079F0"/>
    <w:rsid w:val="00D26CB1"/>
    <w:rsid w:val="00D34914"/>
    <w:rsid w:val="00D35741"/>
    <w:rsid w:val="00D443E6"/>
    <w:rsid w:val="00D60E46"/>
    <w:rsid w:val="00D75033"/>
    <w:rsid w:val="00D90201"/>
    <w:rsid w:val="00DA5455"/>
    <w:rsid w:val="00DD1484"/>
    <w:rsid w:val="00DD30F0"/>
    <w:rsid w:val="00DE7F22"/>
    <w:rsid w:val="00DF70BE"/>
    <w:rsid w:val="00E00F2E"/>
    <w:rsid w:val="00E00FD1"/>
    <w:rsid w:val="00E124FC"/>
    <w:rsid w:val="00E20732"/>
    <w:rsid w:val="00E43426"/>
    <w:rsid w:val="00E877FF"/>
    <w:rsid w:val="00EB3D1F"/>
    <w:rsid w:val="00EB551D"/>
    <w:rsid w:val="00EB59F3"/>
    <w:rsid w:val="00EC0D9C"/>
    <w:rsid w:val="00ED425A"/>
    <w:rsid w:val="00EF2C1F"/>
    <w:rsid w:val="00EF30A8"/>
    <w:rsid w:val="00F059D5"/>
    <w:rsid w:val="00F13422"/>
    <w:rsid w:val="00F146F3"/>
    <w:rsid w:val="00F23FB6"/>
    <w:rsid w:val="00F33031"/>
    <w:rsid w:val="00F4098E"/>
    <w:rsid w:val="00F424C0"/>
    <w:rsid w:val="00F474A7"/>
    <w:rsid w:val="00F6361B"/>
    <w:rsid w:val="00F64223"/>
    <w:rsid w:val="00F80A2C"/>
    <w:rsid w:val="00F8285F"/>
    <w:rsid w:val="00F868DB"/>
    <w:rsid w:val="00F951C9"/>
    <w:rsid w:val="00F96EEE"/>
    <w:rsid w:val="00FD3DE0"/>
    <w:rsid w:val="00FD78A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26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35855397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E34CA859A2697AC276F880D53D9FD8604126A177A9350A2933F5A4694246DA5F8E35AFF5C860CC14EE92C2lE1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675CBD2FE9CB33BE0ED0DA4AE5FEBEEAC60CDF0EB222943182637CECC7957F06BF97158A9A13FCy83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858333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8E34CA859A2697AC276F880D53D9FD8604126A177A9350A2933F5A4694246DA5F8E35AFF5C860CC14EE93C7lE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50CF-4331-476A-B6BC-7A2573E2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ShmanevaEG</dc:creator>
  <cp:lastModifiedBy>user3</cp:lastModifiedBy>
  <cp:revision>3</cp:revision>
  <cp:lastPrinted>2018-03-29T10:11:00Z</cp:lastPrinted>
  <dcterms:created xsi:type="dcterms:W3CDTF">2018-05-17T08:45:00Z</dcterms:created>
  <dcterms:modified xsi:type="dcterms:W3CDTF">2018-05-30T02:25:00Z</dcterms:modified>
</cp:coreProperties>
</file>