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35" w:rsidRPr="00EF0C35" w:rsidRDefault="00EF0C35" w:rsidP="00EF0C35">
      <w:pPr>
        <w:ind w:firstLine="709"/>
        <w:jc w:val="both"/>
        <w:textAlignment w:val="auto"/>
        <w:rPr>
          <w:sz w:val="28"/>
          <w:szCs w:val="28"/>
        </w:rPr>
      </w:pPr>
      <w:bookmarkStart w:id="0" w:name="_GoBack"/>
      <w:r w:rsidRPr="00EF0C35">
        <w:rPr>
          <w:rFonts w:ascii="Arial" w:hAnsi="Arial" w:cs="Arial"/>
          <w:color w:val="000000"/>
          <w:kern w:val="36"/>
          <w:sz w:val="36"/>
          <w:szCs w:val="36"/>
        </w:rPr>
        <w:t>О прекращении государственного регулирования цен в сфере теплоснабжения для ряда организаций</w:t>
      </w:r>
      <w:bookmarkEnd w:id="0"/>
    </w:p>
    <w:p w:rsidR="00EF0C35" w:rsidRPr="00EF0C35" w:rsidRDefault="00EF0C35" w:rsidP="00EF0C35">
      <w:pPr>
        <w:ind w:firstLine="709"/>
        <w:jc w:val="both"/>
        <w:textAlignment w:val="auto"/>
        <w:rPr>
          <w:sz w:val="28"/>
          <w:szCs w:val="28"/>
        </w:rPr>
      </w:pPr>
      <w:r>
        <w:rPr>
          <w:sz w:val="28"/>
          <w:szCs w:val="28"/>
        </w:rPr>
        <w:t xml:space="preserve">Разъясняет помощник прокурора района А.А. </w:t>
      </w:r>
      <w:proofErr w:type="spellStart"/>
      <w:r>
        <w:rPr>
          <w:sz w:val="28"/>
          <w:szCs w:val="28"/>
        </w:rPr>
        <w:t>Тетюцкий</w:t>
      </w:r>
      <w:proofErr w:type="spellEnd"/>
    </w:p>
    <w:p w:rsidR="00EF0C35" w:rsidRPr="00EF0C35" w:rsidRDefault="00EF0C35" w:rsidP="00EF0C35">
      <w:pPr>
        <w:ind w:firstLine="709"/>
        <w:jc w:val="both"/>
        <w:textAlignment w:val="auto"/>
        <w:rPr>
          <w:sz w:val="28"/>
          <w:szCs w:val="28"/>
        </w:rPr>
      </w:pPr>
      <w:r w:rsidRPr="00EF0C35">
        <w:rPr>
          <w:sz w:val="28"/>
          <w:szCs w:val="28"/>
        </w:rPr>
        <w:t>Правовые основы экономических отношений, возникающих в связи с производством, передачей, потреблением тепловой энергии, созданием и развитием таких систем, а также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определены Федеральным законом от 27.07.2010 № 190-ФЗ «О теплоснабжении».</w:t>
      </w:r>
    </w:p>
    <w:p w:rsidR="00EF0C35" w:rsidRPr="00EF0C35" w:rsidRDefault="00EF0C35" w:rsidP="00EF0C35">
      <w:pPr>
        <w:ind w:firstLine="709"/>
        <w:jc w:val="both"/>
        <w:textAlignment w:val="auto"/>
        <w:rPr>
          <w:sz w:val="28"/>
          <w:szCs w:val="28"/>
        </w:rPr>
      </w:pPr>
      <w:proofErr w:type="gramStart"/>
      <w:r w:rsidRPr="00EF0C35">
        <w:rPr>
          <w:sz w:val="28"/>
          <w:szCs w:val="28"/>
        </w:rPr>
        <w:t>С 1 января 2019 г. производство тепловой энергии, теплоносителя с использованием источника тепловой энергии, установленная мощность которого составляет менее 10 Гкал/ч, и осуществление поставки теплоснабжающей организацией потребителю тепловой энергии в объеме менее 50000 Гкал данные цены (тарифы) не подлежат государственному регулированию и определяются соглашением сторон договора теплоснабжения и поставки тепловой энергии и (или) теплоносителя (пункт 5(5) Основ ценообразования</w:t>
      </w:r>
      <w:proofErr w:type="gramEnd"/>
      <w:r w:rsidRPr="00EF0C35">
        <w:rPr>
          <w:sz w:val="28"/>
          <w:szCs w:val="28"/>
        </w:rPr>
        <w:t xml:space="preserve"> в сфере теплоснабжения, </w:t>
      </w:r>
      <w:proofErr w:type="gramStart"/>
      <w:r w:rsidRPr="00EF0C35">
        <w:rPr>
          <w:sz w:val="28"/>
          <w:szCs w:val="28"/>
        </w:rPr>
        <w:t>утвержденных</w:t>
      </w:r>
      <w:proofErr w:type="gramEnd"/>
      <w:r w:rsidRPr="00EF0C35">
        <w:rPr>
          <w:sz w:val="28"/>
          <w:szCs w:val="28"/>
        </w:rPr>
        <w:t xml:space="preserve"> постановлением Правительства Российской Федерации от 22.10.2012 № 1075).</w:t>
      </w:r>
    </w:p>
    <w:p w:rsidR="00EF0C35" w:rsidRPr="00EF0C35" w:rsidRDefault="00EF0C35" w:rsidP="00EF0C35">
      <w:pPr>
        <w:ind w:firstLine="709"/>
        <w:jc w:val="both"/>
        <w:textAlignment w:val="auto"/>
        <w:rPr>
          <w:sz w:val="28"/>
          <w:szCs w:val="28"/>
        </w:rPr>
      </w:pPr>
      <w:r w:rsidRPr="00EF0C35">
        <w:rPr>
          <w:sz w:val="28"/>
          <w:szCs w:val="28"/>
        </w:rPr>
        <w:t>Из этого следует, что для организаций, заключивших договоры теплоснабжения и поставки тепловой энергии (мощности) или теплоносителя по ценам, определенным соглашением сторон таких договоров на 2019 год цены (тарифы) на тепловую энергию (мощность) или теплоноситель не подлежат государственному регулированию.</w:t>
      </w:r>
    </w:p>
    <w:p w:rsidR="00EF0C35" w:rsidRPr="00EF0C35" w:rsidRDefault="00EF0C35" w:rsidP="00EF0C35">
      <w:pPr>
        <w:ind w:firstLine="709"/>
        <w:jc w:val="both"/>
        <w:textAlignment w:val="auto"/>
        <w:rPr>
          <w:sz w:val="28"/>
          <w:szCs w:val="28"/>
        </w:rPr>
      </w:pPr>
      <w:r w:rsidRPr="00EF0C35">
        <w:rPr>
          <w:sz w:val="28"/>
          <w:szCs w:val="28"/>
        </w:rPr>
        <w:t>Орган регулирования при поступлении заявлений на установление цен (тарифов) на 2019 г. от хозяйствующих субъектов, которые переходят на договоры теплоснабжения или поставки тепловой энергии (мощности) или теплоносителя по ценам, определенным соглашением сторон таких договоров, дела об открытии цен (тарифов) не открывает, документы возвращаются без рассмотрения.</w:t>
      </w:r>
    </w:p>
    <w:p w:rsidR="00EF0C35" w:rsidRPr="00EF0C35" w:rsidRDefault="00EF0C35" w:rsidP="00EF0C35">
      <w:pPr>
        <w:ind w:firstLine="709"/>
        <w:jc w:val="both"/>
        <w:textAlignment w:val="auto"/>
        <w:rPr>
          <w:sz w:val="28"/>
          <w:szCs w:val="28"/>
        </w:rPr>
      </w:pPr>
      <w:r w:rsidRPr="00EF0C35">
        <w:rPr>
          <w:sz w:val="28"/>
          <w:szCs w:val="28"/>
        </w:rPr>
        <w:t xml:space="preserve">Одновременно с этим принятые тарифные решения (долгосрочные тарифы), установленные для организации, которая с 2019 г. переходит на нерегулируемые договорные отношения, не подлежат пересмотру, отмене, но могут не применяться </w:t>
      </w:r>
      <w:proofErr w:type="spellStart"/>
      <w:r w:rsidRPr="00EF0C35">
        <w:rPr>
          <w:sz w:val="28"/>
          <w:szCs w:val="28"/>
        </w:rPr>
        <w:t>ресурсоснабжающими</w:t>
      </w:r>
      <w:proofErr w:type="spellEnd"/>
      <w:r w:rsidRPr="00EF0C35">
        <w:rPr>
          <w:sz w:val="28"/>
          <w:szCs w:val="28"/>
        </w:rPr>
        <w:t xml:space="preserve"> организациями.</w:t>
      </w:r>
    </w:p>
    <w:p w:rsidR="00EF0C35" w:rsidRDefault="00EF0C35" w:rsidP="00E15B51">
      <w:pPr>
        <w:ind w:firstLine="709"/>
        <w:jc w:val="both"/>
        <w:textAlignment w:val="auto"/>
        <w:rPr>
          <w:sz w:val="28"/>
          <w:szCs w:val="28"/>
        </w:rPr>
      </w:pPr>
    </w:p>
    <w:p w:rsidR="00EF0C35" w:rsidRPr="00E15B51" w:rsidRDefault="00EF0C35" w:rsidP="00E15B51">
      <w:pPr>
        <w:ind w:firstLine="709"/>
        <w:jc w:val="both"/>
        <w:textAlignment w:val="auto"/>
        <w:rPr>
          <w:sz w:val="28"/>
          <w:szCs w:val="28"/>
        </w:rPr>
      </w:pPr>
    </w:p>
    <w:p w:rsidR="00E15B51" w:rsidRDefault="00E15B51" w:rsidP="00E15B51">
      <w:pPr>
        <w:contextualSpacing/>
        <w:jc w:val="both"/>
        <w:textAlignment w:val="auto"/>
        <w:rPr>
          <w:sz w:val="28"/>
          <w:szCs w:val="28"/>
        </w:rPr>
      </w:pPr>
    </w:p>
    <w:p w:rsidR="00C0336C" w:rsidRPr="00E15B51" w:rsidRDefault="00C0336C" w:rsidP="00E15B51">
      <w:pPr>
        <w:contextualSpacing/>
        <w:jc w:val="both"/>
        <w:textAlignment w:val="auto"/>
        <w:rPr>
          <w:sz w:val="28"/>
          <w:szCs w:val="28"/>
        </w:rPr>
      </w:pPr>
    </w:p>
    <w:p w:rsidR="00C0336C" w:rsidRDefault="00E15B51" w:rsidP="00C0336C">
      <w:pPr>
        <w:spacing w:line="240" w:lineRule="exact"/>
        <w:contextualSpacing/>
        <w:jc w:val="both"/>
        <w:textAlignment w:val="auto"/>
        <w:rPr>
          <w:sz w:val="28"/>
          <w:szCs w:val="28"/>
        </w:rPr>
      </w:pPr>
      <w:r w:rsidRPr="00E15B51">
        <w:rPr>
          <w:sz w:val="28"/>
          <w:szCs w:val="28"/>
        </w:rPr>
        <w:t>Помощник прокурора района</w:t>
      </w:r>
    </w:p>
    <w:p w:rsidR="00C0336C" w:rsidRDefault="00C0336C" w:rsidP="00C0336C">
      <w:pPr>
        <w:spacing w:line="240" w:lineRule="exact"/>
        <w:contextualSpacing/>
        <w:jc w:val="both"/>
        <w:textAlignment w:val="auto"/>
        <w:rPr>
          <w:sz w:val="28"/>
          <w:szCs w:val="28"/>
        </w:rPr>
      </w:pPr>
    </w:p>
    <w:p w:rsidR="00E15B51" w:rsidRPr="00E15B51" w:rsidRDefault="00C0336C" w:rsidP="00C0336C">
      <w:pPr>
        <w:spacing w:line="240" w:lineRule="exact"/>
        <w:contextualSpacing/>
        <w:jc w:val="both"/>
        <w:textAlignment w:val="auto"/>
        <w:rPr>
          <w:b/>
          <w:sz w:val="28"/>
          <w:szCs w:val="28"/>
        </w:rPr>
      </w:pPr>
      <w:r>
        <w:rPr>
          <w:sz w:val="28"/>
          <w:szCs w:val="28"/>
        </w:rPr>
        <w:t>юрист 3 класса</w:t>
      </w:r>
      <w:r w:rsidR="00E15B51" w:rsidRPr="00E15B51">
        <w:rPr>
          <w:sz w:val="28"/>
          <w:szCs w:val="28"/>
        </w:rPr>
        <w:t xml:space="preserve">                                                                  </w:t>
      </w:r>
      <w:r>
        <w:rPr>
          <w:sz w:val="28"/>
          <w:szCs w:val="28"/>
        </w:rPr>
        <w:t xml:space="preserve">                       </w:t>
      </w:r>
      <w:r w:rsidR="00E15B51" w:rsidRPr="00E15B51">
        <w:rPr>
          <w:sz w:val="28"/>
          <w:szCs w:val="28"/>
        </w:rPr>
        <w:t>А.А.</w:t>
      </w:r>
      <w:r>
        <w:rPr>
          <w:sz w:val="28"/>
          <w:szCs w:val="28"/>
        </w:rPr>
        <w:t xml:space="preserve"> </w:t>
      </w:r>
      <w:proofErr w:type="spellStart"/>
      <w:r w:rsidR="00E15B51" w:rsidRPr="00E15B51">
        <w:rPr>
          <w:sz w:val="28"/>
          <w:szCs w:val="28"/>
        </w:rPr>
        <w:t>Тетюцкий</w:t>
      </w:r>
      <w:proofErr w:type="spellEnd"/>
    </w:p>
    <w:p w:rsidR="00E15B51" w:rsidRPr="00E15B51" w:rsidRDefault="00E15B51" w:rsidP="00E15B51">
      <w:pPr>
        <w:jc w:val="both"/>
        <w:textAlignment w:val="auto"/>
        <w:rPr>
          <w:sz w:val="22"/>
          <w:szCs w:val="22"/>
        </w:rPr>
      </w:pPr>
    </w:p>
    <w:p w:rsidR="00E15B51" w:rsidRPr="00E15B51" w:rsidRDefault="00E15B51" w:rsidP="00E15B51">
      <w:pPr>
        <w:jc w:val="both"/>
        <w:textAlignment w:val="auto"/>
        <w:rPr>
          <w:sz w:val="22"/>
          <w:szCs w:val="22"/>
        </w:rPr>
      </w:pPr>
    </w:p>
    <w:p w:rsidR="0097629A" w:rsidRDefault="0097629A" w:rsidP="001E004A">
      <w:pPr>
        <w:jc w:val="both"/>
        <w:rPr>
          <w:sz w:val="22"/>
          <w:szCs w:val="22"/>
        </w:rPr>
      </w:pPr>
    </w:p>
    <w:sectPr w:rsidR="0097629A" w:rsidSect="0059059A">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E7" w:rsidRDefault="00FD76E7" w:rsidP="00B125F9">
      <w:r>
        <w:separator/>
      </w:r>
    </w:p>
  </w:endnote>
  <w:endnote w:type="continuationSeparator" w:id="0">
    <w:p w:rsidR="00FD76E7" w:rsidRDefault="00FD76E7"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E7" w:rsidRDefault="00FD76E7" w:rsidP="00B125F9">
      <w:r>
        <w:separator/>
      </w:r>
    </w:p>
  </w:footnote>
  <w:footnote w:type="continuationSeparator" w:id="0">
    <w:p w:rsidR="00FD76E7" w:rsidRDefault="00FD76E7"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D22FD">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BA2D98">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04A"/>
    <w:rsid w:val="001E08D3"/>
    <w:rsid w:val="001E19C9"/>
    <w:rsid w:val="001E2707"/>
    <w:rsid w:val="001E286A"/>
    <w:rsid w:val="001E2FA2"/>
    <w:rsid w:val="001E6D79"/>
    <w:rsid w:val="001E7ACE"/>
    <w:rsid w:val="001F0DB4"/>
    <w:rsid w:val="001F1ACB"/>
    <w:rsid w:val="001F1AD4"/>
    <w:rsid w:val="001F1B1C"/>
    <w:rsid w:val="001F5983"/>
    <w:rsid w:val="001F6939"/>
    <w:rsid w:val="001F7840"/>
    <w:rsid w:val="001F7A1D"/>
    <w:rsid w:val="00200B76"/>
    <w:rsid w:val="00202855"/>
    <w:rsid w:val="00203A1B"/>
    <w:rsid w:val="00204CDD"/>
    <w:rsid w:val="0020546F"/>
    <w:rsid w:val="00210B9E"/>
    <w:rsid w:val="00212BF7"/>
    <w:rsid w:val="002147B2"/>
    <w:rsid w:val="00216EDD"/>
    <w:rsid w:val="00220E44"/>
    <w:rsid w:val="002214D0"/>
    <w:rsid w:val="002216AD"/>
    <w:rsid w:val="00221CCA"/>
    <w:rsid w:val="00222F98"/>
    <w:rsid w:val="00223176"/>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2F01"/>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3ED"/>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1E8B"/>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0189"/>
    <w:rsid w:val="00B416DD"/>
    <w:rsid w:val="00B42A8D"/>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2D98"/>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1BD"/>
    <w:rsid w:val="00C004D9"/>
    <w:rsid w:val="00C014B7"/>
    <w:rsid w:val="00C0336C"/>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0B5A"/>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2FD"/>
    <w:rsid w:val="00CD28FB"/>
    <w:rsid w:val="00CD2ECD"/>
    <w:rsid w:val="00CD5247"/>
    <w:rsid w:val="00CD61C8"/>
    <w:rsid w:val="00CD6415"/>
    <w:rsid w:val="00CD7134"/>
    <w:rsid w:val="00CD756F"/>
    <w:rsid w:val="00CD7FFB"/>
    <w:rsid w:val="00CE125D"/>
    <w:rsid w:val="00CE160D"/>
    <w:rsid w:val="00CE1D2A"/>
    <w:rsid w:val="00CE279A"/>
    <w:rsid w:val="00CE49A7"/>
    <w:rsid w:val="00CE5EB3"/>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7"/>
    <w:rsid w:val="00D674AB"/>
    <w:rsid w:val="00D67E48"/>
    <w:rsid w:val="00D70394"/>
    <w:rsid w:val="00D71B77"/>
    <w:rsid w:val="00D72225"/>
    <w:rsid w:val="00D72559"/>
    <w:rsid w:val="00D75810"/>
    <w:rsid w:val="00D76C3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2344"/>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15B51"/>
    <w:rsid w:val="00E20433"/>
    <w:rsid w:val="00E20D69"/>
    <w:rsid w:val="00E210FF"/>
    <w:rsid w:val="00E21A0B"/>
    <w:rsid w:val="00E222CF"/>
    <w:rsid w:val="00E22407"/>
    <w:rsid w:val="00E22E4F"/>
    <w:rsid w:val="00E23C81"/>
    <w:rsid w:val="00E2531A"/>
    <w:rsid w:val="00E2589F"/>
    <w:rsid w:val="00E31430"/>
    <w:rsid w:val="00E33CE2"/>
    <w:rsid w:val="00E34340"/>
    <w:rsid w:val="00E34F4A"/>
    <w:rsid w:val="00E4035C"/>
    <w:rsid w:val="00E409FE"/>
    <w:rsid w:val="00E411A1"/>
    <w:rsid w:val="00E4240F"/>
    <w:rsid w:val="00E42D5F"/>
    <w:rsid w:val="00E443AB"/>
    <w:rsid w:val="00E44E36"/>
    <w:rsid w:val="00E466BA"/>
    <w:rsid w:val="00E47383"/>
    <w:rsid w:val="00E50EA8"/>
    <w:rsid w:val="00E510EE"/>
    <w:rsid w:val="00E51CF6"/>
    <w:rsid w:val="00E5204D"/>
    <w:rsid w:val="00E52C90"/>
    <w:rsid w:val="00E536F2"/>
    <w:rsid w:val="00E537AD"/>
    <w:rsid w:val="00E5443A"/>
    <w:rsid w:val="00E544CB"/>
    <w:rsid w:val="00E54C35"/>
    <w:rsid w:val="00E552CF"/>
    <w:rsid w:val="00E5637D"/>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0C35"/>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403"/>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D76E7"/>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
    <w:name w:val="Body Text Indent 3"/>
    <w:basedOn w:val="a"/>
    <w:link w:val="30"/>
    <w:rsid w:val="009543D2"/>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2239">
      <w:bodyDiv w:val="1"/>
      <w:marLeft w:val="0"/>
      <w:marRight w:val="0"/>
      <w:marTop w:val="0"/>
      <w:marBottom w:val="0"/>
      <w:divBdr>
        <w:top w:val="none" w:sz="0" w:space="0" w:color="auto"/>
        <w:left w:val="none" w:sz="0" w:space="0" w:color="auto"/>
        <w:bottom w:val="none" w:sz="0" w:space="0" w:color="auto"/>
        <w:right w:val="none" w:sz="0" w:space="0" w:color="auto"/>
      </w:divBdr>
    </w:div>
    <w:div w:id="1423141696">
      <w:bodyDiv w:val="1"/>
      <w:marLeft w:val="0"/>
      <w:marRight w:val="0"/>
      <w:marTop w:val="0"/>
      <w:marBottom w:val="0"/>
      <w:divBdr>
        <w:top w:val="none" w:sz="0" w:space="0" w:color="auto"/>
        <w:left w:val="none" w:sz="0" w:space="0" w:color="auto"/>
        <w:bottom w:val="none" w:sz="0" w:space="0" w:color="auto"/>
        <w:right w:val="none" w:sz="0" w:space="0" w:color="auto"/>
      </w:divBdr>
    </w:div>
    <w:div w:id="20322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1C4C-1B7B-4A05-9633-3447B881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1</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2018-03-13T09:37:00Z</cp:lastPrinted>
  <dcterms:created xsi:type="dcterms:W3CDTF">2019-04-10T12:07:00Z</dcterms:created>
  <dcterms:modified xsi:type="dcterms:W3CDTF">2019-04-11T08:46:00Z</dcterms:modified>
</cp:coreProperties>
</file>