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МО Байкаловское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Лыжину Д.В.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150EBA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09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07</w:t>
            </w:r>
            <w:r w:rsidR="00563A02">
              <w:rPr>
                <w:sz w:val="28"/>
                <w:szCs w:val="28"/>
                <w:u w:val="single"/>
              </w:rPr>
              <w:t>.201</w:t>
            </w:r>
            <w:r w:rsidR="00205F4A">
              <w:rPr>
                <w:sz w:val="28"/>
                <w:szCs w:val="28"/>
                <w:u w:val="single"/>
              </w:rPr>
              <w:t>9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205F4A">
              <w:rPr>
                <w:sz w:val="28"/>
                <w:szCs w:val="28"/>
                <w:u w:val="single"/>
              </w:rPr>
              <w:t>01-20-19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515F59" w:rsidRDefault="00515F59" w:rsidP="00C773DA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150EBA" w:rsidRDefault="00150EBA" w:rsidP="00150EBA">
      <w:pPr>
        <w:ind w:firstLine="708"/>
        <w:jc w:val="both"/>
        <w:rPr>
          <w:sz w:val="28"/>
          <w:szCs w:val="28"/>
        </w:rPr>
      </w:pPr>
      <w:r w:rsidRPr="00150EBA">
        <w:rPr>
          <w:sz w:val="28"/>
          <w:szCs w:val="28"/>
        </w:rPr>
        <w:t>Ответственность управляющей компании в случае не предоставления ответа на письма жителей многоквартирного дома</w:t>
      </w:r>
      <w:r>
        <w:rPr>
          <w:sz w:val="28"/>
          <w:szCs w:val="28"/>
        </w:rPr>
        <w:t>.</w:t>
      </w:r>
    </w:p>
    <w:p w:rsidR="00C773DA" w:rsidRPr="00C773DA" w:rsidRDefault="00C773DA" w:rsidP="00C773DA">
      <w:pPr>
        <w:ind w:firstLine="709"/>
        <w:jc w:val="both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</w:p>
    <w:p w:rsidR="00150EBA" w:rsidRPr="00150EBA" w:rsidRDefault="00150EBA" w:rsidP="00150EBA">
      <w:pPr>
        <w:ind w:firstLine="709"/>
        <w:jc w:val="both"/>
        <w:rPr>
          <w:sz w:val="28"/>
          <w:szCs w:val="28"/>
        </w:rPr>
      </w:pPr>
      <w:r w:rsidRPr="00150EBA">
        <w:rPr>
          <w:sz w:val="28"/>
          <w:szCs w:val="28"/>
        </w:rPr>
        <w:t xml:space="preserve">Если управляющая организация отвечает с нарушением сроков на заявление о предоставлении реестра собственников - в целях проведения общего собрания, то тем самым, она нарушает лицензионные требования к своей деятельности (ч.2 ст.14.1.3 КоАП РФ). Если же игнорирует иные сообщения от жителей многоквартирного дома, то такие действия образуют состав административного правонарушения, </w:t>
      </w:r>
      <w:proofErr w:type="gramStart"/>
      <w:r w:rsidRPr="00150EBA">
        <w:rPr>
          <w:sz w:val="28"/>
          <w:szCs w:val="28"/>
        </w:rPr>
        <w:t>предусмотренного  ч.</w:t>
      </w:r>
      <w:proofErr w:type="gramEnd"/>
      <w:r w:rsidRPr="00150EBA">
        <w:rPr>
          <w:sz w:val="28"/>
          <w:szCs w:val="28"/>
        </w:rPr>
        <w:t>1 ст.7.23.3  КоАП РФ (нарушение правил осуществления деятельности по управлению многоквартирного дома). Данную правовую позицию высказал Президиум Верховного Суда РФ о различии в квалификации нарушений управляющей компании многоквартирного дома («Об административной ответственности управляющей организации» утв. Президиумом Верховного Суда РФ 05.06.2019).</w:t>
      </w:r>
    </w:p>
    <w:p w:rsidR="00150EBA" w:rsidRPr="00150EBA" w:rsidRDefault="00150EBA" w:rsidP="00150EBA">
      <w:pPr>
        <w:ind w:firstLine="709"/>
        <w:jc w:val="both"/>
        <w:rPr>
          <w:sz w:val="28"/>
          <w:szCs w:val="28"/>
        </w:rPr>
      </w:pPr>
      <w:r w:rsidRPr="00150EBA">
        <w:rPr>
          <w:sz w:val="28"/>
          <w:szCs w:val="28"/>
        </w:rPr>
        <w:t xml:space="preserve">Такие </w:t>
      </w:r>
      <w:proofErr w:type="gramStart"/>
      <w:r w:rsidRPr="00150EBA">
        <w:rPr>
          <w:sz w:val="28"/>
          <w:szCs w:val="28"/>
        </w:rPr>
        <w:t>выводы  следуют</w:t>
      </w:r>
      <w:proofErr w:type="gramEnd"/>
      <w:r w:rsidRPr="00150EBA">
        <w:rPr>
          <w:sz w:val="28"/>
          <w:szCs w:val="28"/>
        </w:rPr>
        <w:t xml:space="preserve"> из того, что собственники жилых и нежилых помещений в многоквартирном доме могут обращаться к УК по различным вопросам, связанными с выполнением УК как лицензионных требований, так и иных. Для таких обращений установлены различные порядок и сроки рассмотрения.</w:t>
      </w:r>
    </w:p>
    <w:p w:rsidR="00150EBA" w:rsidRPr="00150EBA" w:rsidRDefault="00150EBA" w:rsidP="00150EBA">
      <w:pPr>
        <w:ind w:firstLine="709"/>
        <w:jc w:val="both"/>
        <w:rPr>
          <w:sz w:val="28"/>
          <w:szCs w:val="28"/>
        </w:rPr>
      </w:pPr>
      <w:r w:rsidRPr="00150EBA">
        <w:rPr>
          <w:sz w:val="28"/>
          <w:szCs w:val="28"/>
        </w:rPr>
        <w:t xml:space="preserve">В целом же, квалификация действий (бездействия) управляющей компании, которая нарушает порядок рассмотрения обращений многоквартирного дома (или вовсе их игнорирует), зависит от существа такого нерассмотренного обращения, а именно от того, связано оно с выполнением УК </w:t>
      </w:r>
      <w:r w:rsidRPr="00150EBA">
        <w:rPr>
          <w:sz w:val="28"/>
          <w:szCs w:val="28"/>
        </w:rPr>
        <w:lastRenderedPageBreak/>
        <w:t>лицензионных требований или с соблюдением иных требований по управлению многоквартирного дома.</w:t>
      </w:r>
    </w:p>
    <w:p w:rsidR="00C773DA" w:rsidRDefault="00C773DA" w:rsidP="001F255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F1" w:rsidRDefault="00C978F1" w:rsidP="00B125F9">
      <w:r>
        <w:separator/>
      </w:r>
    </w:p>
  </w:endnote>
  <w:endnote w:type="continuationSeparator" w:id="0">
    <w:p w:rsidR="00C978F1" w:rsidRDefault="00C978F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F1" w:rsidRDefault="00C978F1" w:rsidP="00B125F9">
      <w:r>
        <w:separator/>
      </w:r>
    </w:p>
  </w:footnote>
  <w:footnote w:type="continuationSeparator" w:id="0">
    <w:p w:rsidR="00C978F1" w:rsidRDefault="00C978F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150EB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071FC-7ABB-4E7D-B524-4F7C5690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FEDF-CD7F-4529-8B06-1CCC4666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prok-baikalovsk-ekb1</cp:lastModifiedBy>
  <cp:revision>2</cp:revision>
  <cp:lastPrinted>2018-04-08T11:50:00Z</cp:lastPrinted>
  <dcterms:created xsi:type="dcterms:W3CDTF">2019-07-09T05:53:00Z</dcterms:created>
  <dcterms:modified xsi:type="dcterms:W3CDTF">2019-07-09T05:53:00Z</dcterms:modified>
</cp:coreProperties>
</file>